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8E9F8" w14:textId="77777777" w:rsidR="005B46E2" w:rsidRDefault="005B46E2" w:rsidP="005B46E2">
      <w:pPr>
        <w:pStyle w:val="Akapitzlist"/>
        <w:spacing w:after="0" w:line="276" w:lineRule="auto"/>
        <w:ind w:left="709"/>
        <w:jc w:val="center"/>
        <w:rPr>
          <w:rFonts w:ascii="Bookman Old Style" w:hAnsi="Bookman Old Style" w:cstheme="minorHAnsi"/>
          <w:b/>
        </w:rPr>
      </w:pPr>
      <w:bookmarkStart w:id="0" w:name="_GoBack"/>
      <w:r>
        <w:rPr>
          <w:rFonts w:ascii="Bookman Old Style" w:hAnsi="Bookman Old Style" w:cstheme="minorHAnsi"/>
          <w:b/>
        </w:rPr>
        <w:t xml:space="preserve">INSTRUKCJA PRZEJMOWANIA </w:t>
      </w:r>
      <w:r w:rsidRPr="00FB10FB">
        <w:rPr>
          <w:rFonts w:ascii="Bookman Old Style" w:hAnsi="Bookman Old Style" w:cstheme="minorHAnsi"/>
          <w:b/>
        </w:rPr>
        <w:t>PRZEZ AKADEMIĘ PRAC STUDENCKICH POWSTAŁYCH W PROCESIE DYDAKTYCZNYM</w:t>
      </w:r>
    </w:p>
    <w:bookmarkEnd w:id="0"/>
    <w:p w14:paraId="26049F58" w14:textId="4E34C5F5" w:rsidR="005B46E2" w:rsidRPr="00FB10FB" w:rsidRDefault="00E96775" w:rsidP="005B46E2">
      <w:pPr>
        <w:spacing w:after="0" w:line="276" w:lineRule="auto"/>
        <w:jc w:val="center"/>
        <w:rPr>
          <w:rFonts w:ascii="Bookman Old Style" w:hAnsi="Bookman Old Style" w:cstheme="minorHAnsi"/>
          <w:b/>
        </w:rPr>
      </w:pPr>
      <w:r>
        <w:rPr>
          <w:rFonts w:ascii="Bookman Old Style" w:hAnsi="Bookman Old Style" w:cstheme="minorHAnsi"/>
          <w:b/>
        </w:rPr>
        <w:t xml:space="preserve">sporządzona w oparciu o </w:t>
      </w:r>
      <w:r w:rsidR="005B46E2">
        <w:rPr>
          <w:rFonts w:ascii="Bookman Old Style" w:hAnsi="Bookman Old Style" w:cstheme="minorHAnsi"/>
          <w:b/>
        </w:rPr>
        <w:t>Regulamin</w:t>
      </w:r>
      <w:r w:rsidR="005B46E2" w:rsidRPr="00F07E42">
        <w:rPr>
          <w:rFonts w:ascii="Bookman Old Style" w:hAnsi="Bookman Old Style" w:cstheme="minorHAnsi"/>
          <w:b/>
        </w:rPr>
        <w:t xml:space="preserve"> </w:t>
      </w:r>
      <w:r w:rsidR="005B46E2" w:rsidRPr="00FB10FB">
        <w:rPr>
          <w:rFonts w:ascii="Bookman Old Style" w:hAnsi="Bookman Old Style" w:cstheme="minorHAnsi"/>
          <w:b/>
        </w:rPr>
        <w:t xml:space="preserve">zarządzania prawami autorskimi </w:t>
      </w:r>
      <w:r w:rsidR="006A4F8F">
        <w:rPr>
          <w:rFonts w:ascii="Bookman Old Style" w:hAnsi="Bookman Old Style" w:cstheme="minorHAnsi"/>
          <w:b/>
        </w:rPr>
        <w:br/>
      </w:r>
      <w:r w:rsidR="005B46E2" w:rsidRPr="00FB10FB">
        <w:rPr>
          <w:rFonts w:ascii="Bookman Old Style" w:hAnsi="Bookman Old Style" w:cstheme="minorHAnsi"/>
          <w:b/>
        </w:rPr>
        <w:t xml:space="preserve">i prawami pokrewnymi oraz prawami własności przemysłowej oraz zasad komercjalizacji w Akademii Sztuk Pięknych im. Eugeniusza Gepperta </w:t>
      </w:r>
      <w:r w:rsidR="008C16EE">
        <w:rPr>
          <w:rFonts w:ascii="Bookman Old Style" w:hAnsi="Bookman Old Style" w:cstheme="minorHAnsi"/>
          <w:b/>
        </w:rPr>
        <w:br/>
      </w:r>
      <w:r w:rsidR="005B46E2" w:rsidRPr="00FB10FB">
        <w:rPr>
          <w:rFonts w:ascii="Bookman Old Style" w:hAnsi="Bookman Old Style" w:cstheme="minorHAnsi"/>
          <w:b/>
        </w:rPr>
        <w:t>we Wrocławiu</w:t>
      </w:r>
      <w:r w:rsidR="00D809D5">
        <w:rPr>
          <w:rFonts w:ascii="Bookman Old Style" w:hAnsi="Bookman Old Style" w:cstheme="minorHAnsi"/>
          <w:b/>
        </w:rPr>
        <w:t xml:space="preserve"> (Akademii)</w:t>
      </w:r>
    </w:p>
    <w:p w14:paraId="1A61BB0D" w14:textId="77777777" w:rsidR="005B46E2" w:rsidRDefault="005B46E2" w:rsidP="005B46E2">
      <w:pPr>
        <w:autoSpaceDE w:val="0"/>
        <w:autoSpaceDN w:val="0"/>
        <w:adjustRightInd w:val="0"/>
        <w:spacing w:after="0" w:line="240" w:lineRule="auto"/>
        <w:rPr>
          <w:rFonts w:ascii="Garamond" w:hAnsi="Garamond" w:cs="GeppertSans-Regular"/>
          <w:sz w:val="24"/>
          <w:szCs w:val="24"/>
        </w:rPr>
      </w:pPr>
    </w:p>
    <w:p w14:paraId="3251B186" w14:textId="7E651488" w:rsidR="005B46E2" w:rsidRDefault="005B46E2" w:rsidP="00FD365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eppertSans-Regular"/>
          <w:sz w:val="24"/>
          <w:szCs w:val="24"/>
        </w:rPr>
      </w:pPr>
      <w:r w:rsidRPr="005B46E2">
        <w:rPr>
          <w:rFonts w:ascii="Garamond" w:hAnsi="Garamond" w:cs="GeppertSans-Regular"/>
          <w:sz w:val="24"/>
          <w:szCs w:val="24"/>
        </w:rPr>
        <w:t>Niniejsze zasady mają zastosowanie w stosunku do utworów (prac studenckich) wybranych przez prowadzącego</w:t>
      </w:r>
      <w:r>
        <w:rPr>
          <w:rFonts w:ascii="Garamond" w:hAnsi="Garamond" w:cs="GeppertSans-Regular"/>
          <w:sz w:val="24"/>
          <w:szCs w:val="24"/>
        </w:rPr>
        <w:t xml:space="preserve"> </w:t>
      </w:r>
      <w:r w:rsidRPr="005B46E2">
        <w:rPr>
          <w:rFonts w:ascii="Garamond" w:hAnsi="Garamond" w:cs="GeppertSans-Regular"/>
          <w:sz w:val="24"/>
          <w:szCs w:val="24"/>
        </w:rPr>
        <w:t>przedmiot lub pracownię, przedstawionych na obronie dyplomowej, zaprezentowanych na</w:t>
      </w:r>
      <w:r>
        <w:rPr>
          <w:rFonts w:ascii="Garamond" w:hAnsi="Garamond" w:cs="GeppertSans-Regular"/>
          <w:sz w:val="24"/>
          <w:szCs w:val="24"/>
        </w:rPr>
        <w:t xml:space="preserve"> </w:t>
      </w:r>
      <w:r w:rsidRPr="005B46E2">
        <w:rPr>
          <w:rFonts w:ascii="Garamond" w:hAnsi="Garamond" w:cs="GeppertSans-Regular"/>
          <w:sz w:val="24"/>
          <w:szCs w:val="24"/>
        </w:rPr>
        <w:t xml:space="preserve">corocznym przeglądzie egzaminacyjnym lub zaliczeniowym </w:t>
      </w:r>
      <w:r w:rsidR="007C64FF">
        <w:rPr>
          <w:rFonts w:ascii="Garamond" w:hAnsi="Garamond" w:cs="GeppertSans-Regular"/>
          <w:sz w:val="24"/>
          <w:szCs w:val="24"/>
        </w:rPr>
        <w:br/>
        <w:t>ze stopniem</w:t>
      </w:r>
      <w:r w:rsidRPr="005B46E2">
        <w:rPr>
          <w:rFonts w:ascii="Garamond" w:hAnsi="Garamond" w:cs="GeppertSans-Regular"/>
          <w:sz w:val="24"/>
          <w:szCs w:val="24"/>
        </w:rPr>
        <w:t>.</w:t>
      </w:r>
    </w:p>
    <w:p w14:paraId="03142651" w14:textId="77777777" w:rsidR="005B46E2" w:rsidRDefault="005B46E2" w:rsidP="00FD365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eppertSans-Regular"/>
          <w:sz w:val="24"/>
          <w:szCs w:val="24"/>
        </w:rPr>
      </w:pPr>
      <w:r w:rsidRPr="005B46E2">
        <w:rPr>
          <w:rFonts w:ascii="Garamond" w:hAnsi="Garamond" w:cs="GeppertSans-Regular"/>
          <w:sz w:val="24"/>
          <w:szCs w:val="24"/>
        </w:rPr>
        <w:t>Prowadzący przedmiot lub pracownię wskazuje utwory/prace przedstawione na obronie dyplomowej,</w:t>
      </w:r>
      <w:r>
        <w:rPr>
          <w:rFonts w:ascii="Garamond" w:hAnsi="Garamond" w:cs="GeppertSans-Regular"/>
          <w:sz w:val="24"/>
          <w:szCs w:val="24"/>
        </w:rPr>
        <w:t xml:space="preserve"> </w:t>
      </w:r>
      <w:r w:rsidRPr="005B46E2">
        <w:rPr>
          <w:rFonts w:ascii="Garamond" w:hAnsi="Garamond" w:cs="GeppertSans-Regular"/>
          <w:sz w:val="24"/>
          <w:szCs w:val="24"/>
        </w:rPr>
        <w:t>zaprezentowane na corocznym przeglądzie egzaminacyjnym lub zaliczeniowym „ze stopniem”, których</w:t>
      </w:r>
      <w:r>
        <w:rPr>
          <w:rFonts w:ascii="Garamond" w:hAnsi="Garamond" w:cs="GeppertSans-Regular"/>
          <w:sz w:val="24"/>
          <w:szCs w:val="24"/>
        </w:rPr>
        <w:t xml:space="preserve"> </w:t>
      </w:r>
      <w:r w:rsidRPr="005B46E2">
        <w:rPr>
          <w:rFonts w:ascii="Garamond" w:hAnsi="Garamond" w:cs="GeppertSans-Regular"/>
          <w:sz w:val="24"/>
          <w:szCs w:val="24"/>
        </w:rPr>
        <w:t>przejęciem (nabyciem) autorskich praw majątkowych Akademia jest zainteresowana (w celu ich włączenia</w:t>
      </w:r>
      <w:r>
        <w:rPr>
          <w:rFonts w:ascii="Garamond" w:hAnsi="Garamond" w:cs="GeppertSans-Regular"/>
          <w:sz w:val="24"/>
          <w:szCs w:val="24"/>
        </w:rPr>
        <w:t xml:space="preserve"> </w:t>
      </w:r>
      <w:r w:rsidRPr="005B46E2">
        <w:rPr>
          <w:rFonts w:ascii="Garamond" w:hAnsi="Garamond" w:cs="GeppertSans-Regular"/>
          <w:sz w:val="24"/>
          <w:szCs w:val="24"/>
        </w:rPr>
        <w:t>do zbiorów uczelnianych, by udokumentować program kształcenia, w celach promocyjnych lub by</w:t>
      </w:r>
      <w:r>
        <w:rPr>
          <w:rFonts w:ascii="Garamond" w:hAnsi="Garamond" w:cs="GeppertSans-Regular"/>
          <w:sz w:val="24"/>
          <w:szCs w:val="24"/>
        </w:rPr>
        <w:t xml:space="preserve"> </w:t>
      </w:r>
      <w:r w:rsidRPr="005B46E2">
        <w:rPr>
          <w:rFonts w:ascii="Garamond" w:hAnsi="Garamond" w:cs="GeppertSans-Regular"/>
          <w:sz w:val="24"/>
          <w:szCs w:val="24"/>
        </w:rPr>
        <w:t>dokonać ich komercjalizacji).</w:t>
      </w:r>
    </w:p>
    <w:p w14:paraId="370EB397" w14:textId="7CFE1830" w:rsidR="005B46E2" w:rsidRDefault="005B46E2" w:rsidP="00FD365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eppertSans-Regular"/>
          <w:sz w:val="24"/>
          <w:szCs w:val="24"/>
        </w:rPr>
      </w:pPr>
      <w:r w:rsidRPr="005B46E2">
        <w:rPr>
          <w:rFonts w:ascii="Garamond" w:hAnsi="Garamond" w:cs="GeppertSans-Regular"/>
          <w:sz w:val="24"/>
          <w:szCs w:val="24"/>
        </w:rPr>
        <w:t>Wskazanie pracy studenckiej przez prowadzącego przedmiot lub pracownię następuje poprzez jej faktyczne</w:t>
      </w:r>
      <w:r>
        <w:rPr>
          <w:rFonts w:ascii="Garamond" w:hAnsi="Garamond" w:cs="GeppertSans-Regular"/>
          <w:sz w:val="24"/>
          <w:szCs w:val="24"/>
        </w:rPr>
        <w:t xml:space="preserve"> </w:t>
      </w:r>
      <w:r w:rsidRPr="005B46E2">
        <w:rPr>
          <w:rFonts w:ascii="Garamond" w:hAnsi="Garamond" w:cs="GeppertSans-Regular"/>
          <w:sz w:val="24"/>
          <w:szCs w:val="24"/>
        </w:rPr>
        <w:t>(fizyczne) wytypowanie i zaznaczenie tej okoliczności w protokole</w:t>
      </w:r>
      <w:r w:rsidR="00DC1333">
        <w:rPr>
          <w:rFonts w:ascii="Garamond" w:hAnsi="Garamond" w:cs="GeppertSans-Regular"/>
          <w:sz w:val="24"/>
          <w:szCs w:val="24"/>
        </w:rPr>
        <w:t xml:space="preserve"> wskazania prac studenckich</w:t>
      </w:r>
      <w:r>
        <w:rPr>
          <w:rFonts w:ascii="Garamond" w:hAnsi="Garamond" w:cs="GeppertSans-Regular"/>
          <w:sz w:val="24"/>
          <w:szCs w:val="24"/>
        </w:rPr>
        <w:t xml:space="preserve"> (załącznik nr 1).</w:t>
      </w:r>
    </w:p>
    <w:p w14:paraId="4A0C6A3E" w14:textId="77777777" w:rsidR="005B46E2" w:rsidRDefault="005B46E2" w:rsidP="00FD365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eppertSans-Regular"/>
          <w:sz w:val="24"/>
          <w:szCs w:val="24"/>
        </w:rPr>
      </w:pPr>
      <w:r w:rsidRPr="005B46E2">
        <w:rPr>
          <w:rFonts w:ascii="Garamond" w:hAnsi="Garamond" w:cs="GeppertSans-Regular"/>
          <w:sz w:val="24"/>
          <w:szCs w:val="24"/>
        </w:rPr>
        <w:t>Prowadzący przedmiot lub pracownię oraz autor/autorzy przejmowanej pracy podpisują Protokół przejęcia</w:t>
      </w:r>
      <w:r>
        <w:rPr>
          <w:rFonts w:ascii="Garamond" w:hAnsi="Garamond" w:cs="GeppertSans-Regular"/>
          <w:sz w:val="24"/>
          <w:szCs w:val="24"/>
        </w:rPr>
        <w:t xml:space="preserve"> </w:t>
      </w:r>
      <w:r w:rsidRPr="005B46E2">
        <w:rPr>
          <w:rFonts w:ascii="Garamond" w:hAnsi="Garamond" w:cs="GeppertSans-Regular"/>
          <w:sz w:val="24"/>
          <w:szCs w:val="24"/>
        </w:rPr>
        <w:t xml:space="preserve">pracy </w:t>
      </w:r>
      <w:r>
        <w:rPr>
          <w:rFonts w:ascii="Garamond" w:hAnsi="Garamond" w:cs="GeppertSans-Regular"/>
          <w:sz w:val="24"/>
          <w:szCs w:val="24"/>
        </w:rPr>
        <w:t xml:space="preserve">(załącznik nr 2) </w:t>
      </w:r>
      <w:r w:rsidRPr="005B46E2">
        <w:rPr>
          <w:rFonts w:ascii="Garamond" w:hAnsi="Garamond" w:cs="GeppertSans-Regular"/>
          <w:sz w:val="24"/>
          <w:szCs w:val="24"/>
        </w:rPr>
        <w:t>w odpowiedniej ilości egzemplarzy – po jednym dla Akademii oraz dla każdego z autorów</w:t>
      </w:r>
      <w:r>
        <w:rPr>
          <w:rFonts w:ascii="Garamond" w:hAnsi="Garamond" w:cs="GeppertSans-Regular"/>
          <w:sz w:val="24"/>
          <w:szCs w:val="24"/>
        </w:rPr>
        <w:t xml:space="preserve"> </w:t>
      </w:r>
      <w:r w:rsidRPr="005B46E2">
        <w:rPr>
          <w:rFonts w:ascii="Garamond" w:hAnsi="Garamond" w:cs="GeppertSans-Regular"/>
          <w:sz w:val="24"/>
          <w:szCs w:val="24"/>
        </w:rPr>
        <w:t>pracy.</w:t>
      </w:r>
    </w:p>
    <w:p w14:paraId="5954BAD1" w14:textId="77777777" w:rsidR="005B46E2" w:rsidRDefault="005B46E2" w:rsidP="007C64F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eppertSans-Regular"/>
          <w:sz w:val="24"/>
          <w:szCs w:val="24"/>
        </w:rPr>
      </w:pPr>
      <w:r w:rsidRPr="005B46E2">
        <w:rPr>
          <w:rFonts w:ascii="Garamond" w:hAnsi="Garamond" w:cs="GeppertSans-Regular"/>
          <w:sz w:val="24"/>
          <w:szCs w:val="24"/>
        </w:rPr>
        <w:t>Prowadzący przedmiot lub pracownię, który dokonał wskazania pracy studenckiej, która ma zostać</w:t>
      </w:r>
      <w:r>
        <w:rPr>
          <w:rFonts w:ascii="Garamond" w:hAnsi="Garamond" w:cs="GeppertSans-Regular"/>
          <w:sz w:val="24"/>
          <w:szCs w:val="24"/>
        </w:rPr>
        <w:t xml:space="preserve"> </w:t>
      </w:r>
      <w:r w:rsidRPr="005B46E2">
        <w:rPr>
          <w:rFonts w:ascii="Garamond" w:hAnsi="Garamond" w:cs="GeppertSans-Regular"/>
          <w:sz w:val="24"/>
          <w:szCs w:val="24"/>
        </w:rPr>
        <w:t>przeznaczona:</w:t>
      </w:r>
    </w:p>
    <w:p w14:paraId="7B3DBC14" w14:textId="77777777" w:rsidR="007C64FF" w:rsidRDefault="005B46E2" w:rsidP="007C64F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eppertSans-Regular"/>
          <w:sz w:val="24"/>
          <w:szCs w:val="24"/>
        </w:rPr>
      </w:pPr>
      <w:r w:rsidRPr="005B46E2">
        <w:rPr>
          <w:rFonts w:ascii="Garamond" w:hAnsi="Garamond" w:cs="GeppertSans-Regular"/>
          <w:sz w:val="24"/>
          <w:szCs w:val="24"/>
        </w:rPr>
        <w:t>a) do komercjalizacji lub</w:t>
      </w:r>
    </w:p>
    <w:p w14:paraId="35D5AAC6" w14:textId="252729D2" w:rsidR="005B46E2" w:rsidRPr="007C64FF" w:rsidRDefault="005B46E2" w:rsidP="007C64F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eppertSans-Regular"/>
          <w:sz w:val="24"/>
          <w:szCs w:val="24"/>
        </w:rPr>
      </w:pPr>
      <w:r w:rsidRPr="005B46E2">
        <w:rPr>
          <w:rFonts w:ascii="Garamond" w:hAnsi="Garamond" w:cs="GeppertSans-Regular"/>
          <w:sz w:val="24"/>
          <w:szCs w:val="24"/>
        </w:rPr>
        <w:t>b) na potrzeby działalności statutowej Akademii oraz jej promocji z prawem wykorzystania w publikacjach</w:t>
      </w:r>
      <w:r>
        <w:rPr>
          <w:rFonts w:ascii="Garamond" w:hAnsi="Garamond" w:cs="GeppertSans-Regular"/>
          <w:sz w:val="24"/>
          <w:szCs w:val="24"/>
        </w:rPr>
        <w:t xml:space="preserve"> </w:t>
      </w:r>
      <w:r w:rsidRPr="005B46E2">
        <w:rPr>
          <w:rFonts w:ascii="Garamond" w:hAnsi="Garamond" w:cs="GeppertSans-Regular"/>
          <w:sz w:val="24"/>
          <w:szCs w:val="24"/>
        </w:rPr>
        <w:t>Akademii (Internet, druk) i w tym celu pozostawiona w posiadaniu Akademii</w:t>
      </w:r>
      <w:r w:rsidR="00A00DD1">
        <w:rPr>
          <w:rFonts w:ascii="Garamond" w:hAnsi="Garamond" w:cs="GeppertSans-Regular"/>
          <w:sz w:val="24"/>
          <w:szCs w:val="24"/>
        </w:rPr>
        <w:t xml:space="preserve"> </w:t>
      </w:r>
      <w:r w:rsidRPr="00A00DD1">
        <w:rPr>
          <w:rFonts w:ascii="Garamond" w:hAnsi="Garamond" w:cs="GeppertSans-Regular"/>
          <w:sz w:val="24"/>
          <w:szCs w:val="24"/>
        </w:rPr>
        <w:t>podpisuje wspólnie ze studentem protokół przejęcia pracy</w:t>
      </w:r>
      <w:r w:rsidR="007D073A" w:rsidRPr="00A00DD1">
        <w:rPr>
          <w:rFonts w:ascii="Garamond" w:hAnsi="Garamond" w:cs="GeppertSans-Regular"/>
          <w:sz w:val="24"/>
          <w:szCs w:val="24"/>
        </w:rPr>
        <w:t xml:space="preserve"> (załącznik nr 2)</w:t>
      </w:r>
      <w:r w:rsidRPr="00A00DD1">
        <w:rPr>
          <w:rFonts w:ascii="Garamond" w:hAnsi="Garamond" w:cs="GeppertSans-Regular"/>
          <w:sz w:val="24"/>
          <w:szCs w:val="24"/>
        </w:rPr>
        <w:t xml:space="preserve">, </w:t>
      </w:r>
      <w:r w:rsidR="007C64FF">
        <w:rPr>
          <w:rFonts w:ascii="Garamond" w:hAnsi="Garamond" w:cs="GeppertSans-Regular"/>
          <w:sz w:val="24"/>
          <w:szCs w:val="24"/>
        </w:rPr>
        <w:br/>
      </w:r>
      <w:r w:rsidRPr="00A00DD1">
        <w:rPr>
          <w:rFonts w:ascii="Garamond" w:hAnsi="Garamond" w:cs="GeppertSans-Regular"/>
          <w:sz w:val="24"/>
          <w:szCs w:val="24"/>
        </w:rPr>
        <w:t>w którym podawane są</w:t>
      </w:r>
      <w:r w:rsidR="007D073A" w:rsidRPr="00A00DD1">
        <w:rPr>
          <w:rFonts w:ascii="Garamond" w:hAnsi="Garamond" w:cs="GeppertSans-Regular"/>
          <w:sz w:val="24"/>
          <w:szCs w:val="24"/>
        </w:rPr>
        <w:t xml:space="preserve"> m.in</w:t>
      </w:r>
      <w:r w:rsidRPr="00A00DD1">
        <w:rPr>
          <w:rFonts w:ascii="Garamond" w:hAnsi="Garamond" w:cs="GeppertSans-Regular"/>
          <w:sz w:val="24"/>
          <w:szCs w:val="24"/>
        </w:rPr>
        <w:t>: tytuł pracy, autor-</w:t>
      </w:r>
      <w:proofErr w:type="spellStart"/>
      <w:r w:rsidRPr="00A00DD1">
        <w:rPr>
          <w:rFonts w:ascii="Garamond" w:hAnsi="Garamond" w:cs="GeppertSans-Regular"/>
          <w:sz w:val="24"/>
          <w:szCs w:val="24"/>
        </w:rPr>
        <w:t>rzy</w:t>
      </w:r>
      <w:proofErr w:type="spellEnd"/>
      <w:r w:rsidRPr="00A00DD1">
        <w:rPr>
          <w:rFonts w:ascii="Garamond" w:hAnsi="Garamond" w:cs="GeppertSans-Regular"/>
          <w:sz w:val="24"/>
          <w:szCs w:val="24"/>
        </w:rPr>
        <w:t>) oraz informacje o tym czy nośnik, na którym pracę utrwalono zostaje wydany w posiadanie Akademii, a także czy Akademia nabywa własność tego nośnika (o ile nie jest jego właścicielem).</w:t>
      </w:r>
      <w:r w:rsidR="00AE30C4" w:rsidRPr="00A00DD1">
        <w:rPr>
          <w:rFonts w:ascii="Garamond" w:hAnsi="Garamond" w:cs="GeppertSans-Regular"/>
          <w:sz w:val="24"/>
          <w:szCs w:val="24"/>
        </w:rPr>
        <w:t xml:space="preserve"> Do protokołu przejęcia pracy zostaje załączona sporządzona przez autora dokumentacja wizualna</w:t>
      </w:r>
      <w:r w:rsidR="00A00DD1">
        <w:rPr>
          <w:rFonts w:ascii="Garamond" w:hAnsi="Garamond" w:cs="GeppertSans-Regular"/>
          <w:sz w:val="24"/>
          <w:szCs w:val="24"/>
        </w:rPr>
        <w:t xml:space="preserve"> w formie zdjęć </w:t>
      </w:r>
      <w:r w:rsidR="007C64FF" w:rsidRPr="007C64FF">
        <w:rPr>
          <w:rFonts w:ascii="Garamond" w:eastAsia="Times New Roman" w:hAnsi="Garamond" w:cs="Times New Roman"/>
          <w:color w:val="2C363A"/>
          <w:sz w:val="24"/>
          <w:szCs w:val="24"/>
          <w:lang w:eastAsia="pl-PL"/>
        </w:rPr>
        <w:t xml:space="preserve">(zdjęcia </w:t>
      </w:r>
      <w:r w:rsidR="007C64FF">
        <w:rPr>
          <w:rFonts w:ascii="Garamond" w:hAnsi="Garamond" w:cs="GeppertSans-Regular"/>
          <w:sz w:val="24"/>
          <w:szCs w:val="24"/>
        </w:rPr>
        <w:t xml:space="preserve">jpg </w:t>
      </w:r>
      <w:r w:rsidR="007C64FF" w:rsidRPr="007C64FF">
        <w:rPr>
          <w:rFonts w:ascii="Garamond" w:eastAsia="Times New Roman" w:hAnsi="Garamond" w:cs="Times New Roman"/>
          <w:color w:val="2C363A"/>
          <w:sz w:val="24"/>
          <w:szCs w:val="24"/>
          <w:lang w:eastAsia="pl-PL"/>
        </w:rPr>
        <w:t xml:space="preserve">podpisane nazwami prac, wielkość fotografii minimum 3500 </w:t>
      </w:r>
      <w:proofErr w:type="spellStart"/>
      <w:r w:rsidR="007C64FF" w:rsidRPr="007C64FF">
        <w:rPr>
          <w:rFonts w:ascii="Garamond" w:eastAsia="Times New Roman" w:hAnsi="Garamond" w:cs="Times New Roman"/>
          <w:color w:val="2C363A"/>
          <w:sz w:val="24"/>
          <w:szCs w:val="24"/>
          <w:lang w:eastAsia="pl-PL"/>
        </w:rPr>
        <w:t>pixeli</w:t>
      </w:r>
      <w:proofErr w:type="spellEnd"/>
      <w:r w:rsidR="007C64FF" w:rsidRPr="007C64FF">
        <w:rPr>
          <w:rFonts w:ascii="Garamond" w:eastAsia="Times New Roman" w:hAnsi="Garamond" w:cs="Times New Roman"/>
          <w:color w:val="2C363A"/>
          <w:sz w:val="24"/>
          <w:szCs w:val="24"/>
          <w:lang w:eastAsia="pl-PL"/>
        </w:rPr>
        <w:t xml:space="preserve"> dłuższy bok zdjęcia , czyli fotografia do druku w formacie A4)</w:t>
      </w:r>
      <w:r w:rsidR="007C64FF">
        <w:rPr>
          <w:rFonts w:ascii="Garamond" w:eastAsia="Times New Roman" w:hAnsi="Garamond" w:cs="Times New Roman"/>
          <w:color w:val="2C363A"/>
          <w:sz w:val="24"/>
          <w:szCs w:val="24"/>
          <w:lang w:eastAsia="pl-PL"/>
        </w:rPr>
        <w:t xml:space="preserve"> </w:t>
      </w:r>
      <w:r w:rsidR="007A4258" w:rsidRPr="007C64FF">
        <w:rPr>
          <w:rFonts w:ascii="Garamond" w:hAnsi="Garamond" w:cs="GeppertSans-Regular"/>
          <w:sz w:val="24"/>
          <w:szCs w:val="24"/>
        </w:rPr>
        <w:t xml:space="preserve">jako załącznik do protokołu, </w:t>
      </w:r>
      <w:r w:rsidR="00AE30C4" w:rsidRPr="007C64FF">
        <w:rPr>
          <w:rFonts w:ascii="Garamond" w:hAnsi="Garamond" w:cs="GeppertSans-Regular"/>
          <w:sz w:val="24"/>
          <w:szCs w:val="24"/>
        </w:rPr>
        <w:t xml:space="preserve">której wersja cyfrowa zostaje przekazana na adres email: </w:t>
      </w:r>
      <w:hyperlink r:id="rId7" w:history="1">
        <w:r w:rsidR="00716715" w:rsidRPr="007C64FF">
          <w:rPr>
            <w:rStyle w:val="Hipercze"/>
            <w:rFonts w:ascii="Garamond" w:hAnsi="Garamond" w:cs="GeppertSans-Regular"/>
            <w:sz w:val="24"/>
            <w:szCs w:val="24"/>
          </w:rPr>
          <w:t>prordyd@asp.wroc.pl</w:t>
        </w:r>
      </w:hyperlink>
      <w:r w:rsidR="00A00DD1" w:rsidRPr="007C64FF">
        <w:rPr>
          <w:rStyle w:val="Hipercze"/>
          <w:rFonts w:ascii="Garamond" w:hAnsi="Garamond" w:cs="GeppertSans-Regular"/>
          <w:sz w:val="24"/>
          <w:szCs w:val="24"/>
        </w:rPr>
        <w:t xml:space="preserve"> </w:t>
      </w:r>
      <w:r w:rsidR="00AE30C4" w:rsidRPr="007C64FF">
        <w:rPr>
          <w:rFonts w:ascii="Garamond" w:hAnsi="Garamond" w:cs="GeppertSans-Regular"/>
          <w:sz w:val="24"/>
          <w:szCs w:val="24"/>
        </w:rPr>
        <w:t>w dniu podpisania protokołu przejęcia pracy.</w:t>
      </w:r>
    </w:p>
    <w:p w14:paraId="6105375C" w14:textId="5654F142" w:rsidR="005B46E2" w:rsidRDefault="005B46E2" w:rsidP="00FD365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eppertSans-Regular"/>
          <w:sz w:val="24"/>
          <w:szCs w:val="24"/>
        </w:rPr>
      </w:pPr>
      <w:r w:rsidRPr="005B46E2">
        <w:rPr>
          <w:rFonts w:ascii="Garamond" w:hAnsi="Garamond" w:cs="GeppertSans-Regular"/>
          <w:sz w:val="24"/>
          <w:szCs w:val="24"/>
        </w:rPr>
        <w:t xml:space="preserve">Protokół przejęcia pracy, o której mowa w ust.5 a) zawiera również ustaloną </w:t>
      </w:r>
      <w:r w:rsidR="00A00DD1">
        <w:rPr>
          <w:rFonts w:ascii="Garamond" w:hAnsi="Garamond" w:cs="GeppertSans-Regular"/>
          <w:sz w:val="24"/>
          <w:szCs w:val="24"/>
        </w:rPr>
        <w:br/>
      </w:r>
      <w:r w:rsidRPr="005B46E2">
        <w:rPr>
          <w:rFonts w:ascii="Garamond" w:hAnsi="Garamond" w:cs="GeppertSans-Regular"/>
          <w:sz w:val="24"/>
          <w:szCs w:val="24"/>
        </w:rPr>
        <w:t>z autorem/autorami wartość</w:t>
      </w:r>
      <w:r>
        <w:rPr>
          <w:rFonts w:ascii="Garamond" w:hAnsi="Garamond" w:cs="GeppertSans-Regular"/>
          <w:sz w:val="24"/>
          <w:szCs w:val="24"/>
        </w:rPr>
        <w:t xml:space="preserve"> </w:t>
      </w:r>
      <w:r w:rsidRPr="005B46E2">
        <w:rPr>
          <w:rFonts w:ascii="Garamond" w:hAnsi="Garamond" w:cs="GeppertSans-Regular"/>
          <w:sz w:val="24"/>
          <w:szCs w:val="24"/>
        </w:rPr>
        <w:t xml:space="preserve">minimalną dobra/pracy (nie niższą niż wartość nośnika, </w:t>
      </w:r>
      <w:r w:rsidR="00A00DD1">
        <w:rPr>
          <w:rFonts w:ascii="Garamond" w:hAnsi="Garamond" w:cs="GeppertSans-Regular"/>
          <w:sz w:val="24"/>
          <w:szCs w:val="24"/>
        </w:rPr>
        <w:br/>
      </w:r>
      <w:r w:rsidRPr="005B46E2">
        <w:rPr>
          <w:rFonts w:ascii="Garamond" w:hAnsi="Garamond" w:cs="GeppertSans-Regular"/>
          <w:sz w:val="24"/>
          <w:szCs w:val="24"/>
        </w:rPr>
        <w:t>na którym dobro to zostało utrwalone).</w:t>
      </w:r>
      <w:r w:rsidR="00AE30C4">
        <w:rPr>
          <w:rFonts w:ascii="Garamond" w:hAnsi="Garamond" w:cs="GeppertSans-Regular"/>
          <w:sz w:val="24"/>
          <w:szCs w:val="24"/>
        </w:rPr>
        <w:t xml:space="preserve"> </w:t>
      </w:r>
    </w:p>
    <w:p w14:paraId="2029AA07" w14:textId="13B85097" w:rsidR="005B46E2" w:rsidRDefault="005B46E2" w:rsidP="00FD365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eppertSans-Regular"/>
          <w:sz w:val="24"/>
          <w:szCs w:val="24"/>
        </w:rPr>
      </w:pPr>
      <w:r w:rsidRPr="005B46E2">
        <w:rPr>
          <w:rFonts w:ascii="Garamond" w:hAnsi="Garamond" w:cs="GeppertSans-Regular"/>
          <w:sz w:val="24"/>
          <w:szCs w:val="24"/>
        </w:rPr>
        <w:t>Nabycie przez Akademię własności nośnika pracy studenckiej oraz majątkowych praw autorskich (lub</w:t>
      </w:r>
      <w:r>
        <w:rPr>
          <w:rFonts w:ascii="Garamond" w:hAnsi="Garamond" w:cs="GeppertSans-Regular"/>
          <w:sz w:val="24"/>
          <w:szCs w:val="24"/>
        </w:rPr>
        <w:t xml:space="preserve"> </w:t>
      </w:r>
      <w:r w:rsidRPr="005B46E2">
        <w:rPr>
          <w:rFonts w:ascii="Garamond" w:hAnsi="Garamond" w:cs="GeppertSans-Regular"/>
          <w:sz w:val="24"/>
          <w:szCs w:val="24"/>
        </w:rPr>
        <w:t>udzielenie licencji) do studenckiego dobra własności intelektualnej dokonuje się wyłącznie w drodze</w:t>
      </w:r>
      <w:r>
        <w:rPr>
          <w:rFonts w:ascii="Garamond" w:hAnsi="Garamond" w:cs="GeppertSans-Regular"/>
          <w:sz w:val="24"/>
          <w:szCs w:val="24"/>
        </w:rPr>
        <w:t xml:space="preserve"> </w:t>
      </w:r>
      <w:r w:rsidRPr="005B46E2">
        <w:rPr>
          <w:rFonts w:ascii="Garamond" w:hAnsi="Garamond" w:cs="GeppertSans-Regular"/>
          <w:sz w:val="24"/>
          <w:szCs w:val="24"/>
        </w:rPr>
        <w:t xml:space="preserve">umowy zawartej z jej autorem/autorami, zgodnie </w:t>
      </w:r>
      <w:r w:rsidR="00A00DD1">
        <w:rPr>
          <w:rFonts w:ascii="Garamond" w:hAnsi="Garamond" w:cs="GeppertSans-Regular"/>
          <w:sz w:val="24"/>
          <w:szCs w:val="24"/>
        </w:rPr>
        <w:br/>
      </w:r>
      <w:r w:rsidRPr="005B46E2">
        <w:rPr>
          <w:rFonts w:ascii="Garamond" w:hAnsi="Garamond" w:cs="GeppertSans-Regular"/>
          <w:sz w:val="24"/>
          <w:szCs w:val="24"/>
        </w:rPr>
        <w:t>z ustaleniami poczynionymi w drodze negocjacji ze</w:t>
      </w:r>
      <w:r>
        <w:rPr>
          <w:rFonts w:ascii="Garamond" w:hAnsi="Garamond" w:cs="GeppertSans-Regular"/>
          <w:sz w:val="24"/>
          <w:szCs w:val="24"/>
        </w:rPr>
        <w:t xml:space="preserve"> </w:t>
      </w:r>
      <w:r w:rsidRPr="005B46E2">
        <w:rPr>
          <w:rFonts w:ascii="Garamond" w:hAnsi="Garamond" w:cs="GeppertSans-Regular"/>
          <w:sz w:val="24"/>
          <w:szCs w:val="24"/>
        </w:rPr>
        <w:t>studentem i utrwalonymi w protokole przejęcia pracy.</w:t>
      </w:r>
    </w:p>
    <w:p w14:paraId="796C8DB4" w14:textId="77777777" w:rsidR="00DB7102" w:rsidRDefault="005B46E2" w:rsidP="00FD365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eppertSans-Regular"/>
          <w:sz w:val="24"/>
          <w:szCs w:val="24"/>
        </w:rPr>
      </w:pPr>
      <w:r w:rsidRPr="005B46E2">
        <w:rPr>
          <w:rFonts w:ascii="Garamond" w:hAnsi="Garamond" w:cs="GeppertSans-Regular"/>
          <w:sz w:val="24"/>
          <w:szCs w:val="24"/>
        </w:rPr>
        <w:t>O ile przedmiotem umowy, o której mowa jest w ust.7 jest również przeniesienie własności nośnika,</w:t>
      </w:r>
      <w:r>
        <w:rPr>
          <w:rFonts w:ascii="Garamond" w:hAnsi="Garamond" w:cs="GeppertSans-Regular"/>
          <w:sz w:val="24"/>
          <w:szCs w:val="24"/>
        </w:rPr>
        <w:t xml:space="preserve"> </w:t>
      </w:r>
      <w:r w:rsidRPr="005B46E2">
        <w:rPr>
          <w:rFonts w:ascii="Garamond" w:hAnsi="Garamond" w:cs="GeppertSans-Regular"/>
          <w:sz w:val="24"/>
          <w:szCs w:val="24"/>
        </w:rPr>
        <w:t>niezwłocznie po podpisaniu protokołu przejęcia pracy lub po zawarciu umowy przenoszącej majątkowe</w:t>
      </w:r>
      <w:r>
        <w:rPr>
          <w:rFonts w:ascii="Garamond" w:hAnsi="Garamond" w:cs="GeppertSans-Regular"/>
          <w:sz w:val="24"/>
          <w:szCs w:val="24"/>
        </w:rPr>
        <w:t xml:space="preserve"> </w:t>
      </w:r>
      <w:r w:rsidRPr="005B46E2">
        <w:rPr>
          <w:rFonts w:ascii="Garamond" w:hAnsi="Garamond" w:cs="GeppertSans-Regular"/>
          <w:sz w:val="24"/>
          <w:szCs w:val="24"/>
        </w:rPr>
        <w:t>prawa autorskie do tego dobra własności intelektualnej oraz przenoszącej własność nośnika, na którym</w:t>
      </w:r>
      <w:r>
        <w:rPr>
          <w:rFonts w:ascii="Garamond" w:hAnsi="Garamond" w:cs="GeppertSans-Regular"/>
          <w:sz w:val="24"/>
          <w:szCs w:val="24"/>
        </w:rPr>
        <w:t xml:space="preserve"> </w:t>
      </w:r>
      <w:r w:rsidRPr="005B46E2">
        <w:rPr>
          <w:rFonts w:ascii="Garamond" w:hAnsi="Garamond" w:cs="GeppertSans-Regular"/>
          <w:sz w:val="24"/>
          <w:szCs w:val="24"/>
        </w:rPr>
        <w:t>dobro to utrwalono, autor/autorzy wydają fizyczny nośnik prowadzącemu przedmiot lub pracownię.</w:t>
      </w:r>
    </w:p>
    <w:p w14:paraId="020A60A6" w14:textId="77777777" w:rsidR="00D809D5" w:rsidRDefault="008E3821" w:rsidP="00D809D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eppertSans-Regular"/>
          <w:sz w:val="24"/>
          <w:szCs w:val="24"/>
        </w:rPr>
      </w:pPr>
      <w:r>
        <w:rPr>
          <w:rFonts w:ascii="Garamond" w:hAnsi="Garamond" w:cs="GeppertSans-Regular"/>
          <w:sz w:val="24"/>
          <w:szCs w:val="24"/>
        </w:rPr>
        <w:lastRenderedPageBreak/>
        <w:t>Fizyczn</w:t>
      </w:r>
      <w:r w:rsidR="00D809D5">
        <w:rPr>
          <w:rFonts w:ascii="Garamond" w:hAnsi="Garamond" w:cs="GeppertSans-Regular"/>
          <w:sz w:val="24"/>
          <w:szCs w:val="24"/>
        </w:rPr>
        <w:t>y</w:t>
      </w:r>
      <w:r>
        <w:rPr>
          <w:rFonts w:ascii="Garamond" w:hAnsi="Garamond" w:cs="GeppertSans-Regular"/>
          <w:sz w:val="24"/>
          <w:szCs w:val="24"/>
        </w:rPr>
        <w:t xml:space="preserve"> nośnik</w:t>
      </w:r>
      <w:r w:rsidR="00D809D5">
        <w:rPr>
          <w:rFonts w:ascii="Garamond" w:hAnsi="Garamond" w:cs="GeppertSans-Regular"/>
          <w:sz w:val="24"/>
          <w:szCs w:val="24"/>
        </w:rPr>
        <w:t xml:space="preserve"> </w:t>
      </w:r>
      <w:r>
        <w:rPr>
          <w:rFonts w:ascii="Garamond" w:hAnsi="Garamond" w:cs="GeppertSans-Regular"/>
          <w:sz w:val="24"/>
          <w:szCs w:val="24"/>
        </w:rPr>
        <w:t>prac</w:t>
      </w:r>
      <w:r w:rsidR="00D809D5">
        <w:rPr>
          <w:rFonts w:ascii="Garamond" w:hAnsi="Garamond" w:cs="GeppertSans-Regular"/>
          <w:sz w:val="24"/>
          <w:szCs w:val="24"/>
        </w:rPr>
        <w:t>y przeznaczony do</w:t>
      </w:r>
      <w:r>
        <w:rPr>
          <w:rFonts w:ascii="Garamond" w:hAnsi="Garamond" w:cs="GeppertSans-Regular"/>
          <w:sz w:val="24"/>
          <w:szCs w:val="24"/>
        </w:rPr>
        <w:t xml:space="preserve"> przekazan</w:t>
      </w:r>
      <w:r w:rsidR="00D809D5">
        <w:rPr>
          <w:rFonts w:ascii="Garamond" w:hAnsi="Garamond" w:cs="GeppertSans-Regular"/>
          <w:sz w:val="24"/>
          <w:szCs w:val="24"/>
        </w:rPr>
        <w:t>ia Akademii</w:t>
      </w:r>
      <w:r>
        <w:rPr>
          <w:rFonts w:ascii="Garamond" w:hAnsi="Garamond" w:cs="GeppertSans-Regular"/>
          <w:sz w:val="24"/>
          <w:szCs w:val="24"/>
        </w:rPr>
        <w:t xml:space="preserve"> </w:t>
      </w:r>
      <w:r w:rsidR="00D809D5">
        <w:rPr>
          <w:rFonts w:ascii="Garamond" w:hAnsi="Garamond" w:cs="GeppertSans-Regular"/>
          <w:sz w:val="24"/>
          <w:szCs w:val="24"/>
        </w:rPr>
        <w:t>powinien zostać odpowiednio do tego przygotowany przez studenta, tj.:</w:t>
      </w:r>
    </w:p>
    <w:p w14:paraId="68DADD5B" w14:textId="209469AB" w:rsidR="00D809D5" w:rsidRDefault="00AE30C4" w:rsidP="00D809D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eppertSans-Regular"/>
          <w:sz w:val="24"/>
          <w:szCs w:val="24"/>
        </w:rPr>
      </w:pPr>
      <w:r>
        <w:rPr>
          <w:rFonts w:ascii="Garamond" w:hAnsi="Garamond" w:cs="GeppertSans-Regular"/>
          <w:sz w:val="24"/>
          <w:szCs w:val="24"/>
        </w:rPr>
        <w:t xml:space="preserve">- </w:t>
      </w:r>
      <w:r w:rsidR="00D809D5">
        <w:rPr>
          <w:rFonts w:ascii="Garamond" w:hAnsi="Garamond" w:cs="GeppertSans-Regular"/>
          <w:sz w:val="24"/>
          <w:szCs w:val="24"/>
        </w:rPr>
        <w:t>opakowany w materiał sztywny (pudło z tworzywa sztucznego lub drewna),</w:t>
      </w:r>
    </w:p>
    <w:p w14:paraId="69502357" w14:textId="25C1736C" w:rsidR="00D809D5" w:rsidRDefault="00D809D5" w:rsidP="00D809D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eppertSans-Regular"/>
          <w:sz w:val="24"/>
          <w:szCs w:val="24"/>
        </w:rPr>
      </w:pPr>
      <w:r>
        <w:rPr>
          <w:rFonts w:ascii="Garamond" w:hAnsi="Garamond" w:cs="GeppertSans-Regular"/>
          <w:sz w:val="24"/>
          <w:szCs w:val="24"/>
        </w:rPr>
        <w:t>- oznaczony na 2 bokach godłem autora,</w:t>
      </w:r>
    </w:p>
    <w:p w14:paraId="628CF56E" w14:textId="54B065B6" w:rsidR="00E96775" w:rsidRDefault="00D809D5" w:rsidP="00E9677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 w:cs="GeppertSans-Regular"/>
          <w:sz w:val="24"/>
          <w:szCs w:val="24"/>
        </w:rPr>
      </w:pPr>
      <w:r>
        <w:rPr>
          <w:rFonts w:ascii="Garamond" w:hAnsi="Garamond" w:cs="GeppertSans-Regular"/>
          <w:sz w:val="24"/>
          <w:szCs w:val="24"/>
        </w:rPr>
        <w:t>- oznaczony podstawowymi informacjami na temat pracy: wymiary, technika wykona</w:t>
      </w:r>
      <w:r w:rsidR="00AE30C4">
        <w:rPr>
          <w:rFonts w:ascii="Garamond" w:hAnsi="Garamond" w:cs="GeppertSans-Regular"/>
          <w:sz w:val="24"/>
          <w:szCs w:val="24"/>
        </w:rPr>
        <w:t>n</w:t>
      </w:r>
      <w:r>
        <w:rPr>
          <w:rFonts w:ascii="Garamond" w:hAnsi="Garamond" w:cs="GeppertSans-Regular"/>
          <w:sz w:val="24"/>
          <w:szCs w:val="24"/>
        </w:rPr>
        <w:t>ia, tytuł, rok powstania oraz wizerunek.</w:t>
      </w:r>
    </w:p>
    <w:p w14:paraId="010D5D14" w14:textId="06D19E32" w:rsidR="00E96775" w:rsidRDefault="00E96775" w:rsidP="00E9677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eppertSans-Regular"/>
          <w:sz w:val="24"/>
          <w:szCs w:val="24"/>
        </w:rPr>
      </w:pPr>
      <w:r>
        <w:rPr>
          <w:rFonts w:ascii="Garamond" w:hAnsi="Garamond" w:cs="GeppertSans-Regular"/>
          <w:sz w:val="24"/>
          <w:szCs w:val="24"/>
        </w:rPr>
        <w:t>Prowadzący przedmiot lub pracownię obowiązany jest przekazywać do dziekanatu wydziału informacj</w:t>
      </w:r>
      <w:r w:rsidR="00CF109B">
        <w:rPr>
          <w:rFonts w:ascii="Garamond" w:hAnsi="Garamond" w:cs="GeppertSans-Regular"/>
          <w:sz w:val="24"/>
          <w:szCs w:val="24"/>
        </w:rPr>
        <w:t>e</w:t>
      </w:r>
      <w:r>
        <w:rPr>
          <w:rFonts w:ascii="Garamond" w:hAnsi="Garamond" w:cs="GeppertSans-Regular"/>
          <w:sz w:val="24"/>
          <w:szCs w:val="24"/>
        </w:rPr>
        <w:t xml:space="preserve"> o </w:t>
      </w:r>
      <w:r w:rsidR="00CF109B">
        <w:rPr>
          <w:rFonts w:ascii="Garamond" w:hAnsi="Garamond" w:cs="GeppertSans-Regular"/>
          <w:sz w:val="24"/>
          <w:szCs w:val="24"/>
        </w:rPr>
        <w:t xml:space="preserve">przejętych pracach oraz wydanych mu fizycznych nośnikach, </w:t>
      </w:r>
      <w:r w:rsidR="007C64FF">
        <w:rPr>
          <w:rFonts w:ascii="Garamond" w:hAnsi="Garamond" w:cs="GeppertSans-Regular"/>
          <w:sz w:val="24"/>
          <w:szCs w:val="24"/>
        </w:rPr>
        <w:br/>
      </w:r>
      <w:r w:rsidR="00CF109B">
        <w:rPr>
          <w:rFonts w:ascii="Garamond" w:hAnsi="Garamond" w:cs="GeppertSans-Regular"/>
          <w:sz w:val="24"/>
          <w:szCs w:val="24"/>
        </w:rPr>
        <w:t>w terminie 14 dni od zaistnienia tych zdarzeń.</w:t>
      </w:r>
    </w:p>
    <w:p w14:paraId="0645047D" w14:textId="32AE9026" w:rsidR="00AE30C4" w:rsidRDefault="00AE30C4" w:rsidP="00E9677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eppertSans-Regular"/>
          <w:sz w:val="24"/>
          <w:szCs w:val="24"/>
        </w:rPr>
      </w:pPr>
      <w:r w:rsidRPr="00E96775">
        <w:rPr>
          <w:rFonts w:ascii="Garamond" w:hAnsi="Garamond" w:cs="GeppertSans-Regular"/>
          <w:sz w:val="24"/>
          <w:szCs w:val="24"/>
        </w:rPr>
        <w:t>Dziekan</w:t>
      </w:r>
      <w:r w:rsidR="00831DC8" w:rsidRPr="00E96775">
        <w:rPr>
          <w:rFonts w:ascii="Garamond" w:hAnsi="Garamond" w:cs="GeppertSans-Regular"/>
          <w:sz w:val="24"/>
          <w:szCs w:val="24"/>
        </w:rPr>
        <w:t>at</w:t>
      </w:r>
      <w:r w:rsidRPr="00E96775">
        <w:rPr>
          <w:rFonts w:ascii="Garamond" w:hAnsi="Garamond" w:cs="GeppertSans-Regular"/>
          <w:sz w:val="24"/>
          <w:szCs w:val="24"/>
        </w:rPr>
        <w:t xml:space="preserve"> każdego wydziału prowadzi ewidencję przejętych</w:t>
      </w:r>
      <w:r w:rsidR="001E68CC" w:rsidRPr="00E96775">
        <w:rPr>
          <w:rFonts w:ascii="Garamond" w:hAnsi="Garamond" w:cs="GeppertSans-Regular"/>
          <w:sz w:val="24"/>
          <w:szCs w:val="24"/>
        </w:rPr>
        <w:t xml:space="preserve"> w danym wydziale</w:t>
      </w:r>
      <w:r w:rsidRPr="00E96775">
        <w:rPr>
          <w:rFonts w:ascii="Garamond" w:hAnsi="Garamond" w:cs="GeppertSans-Regular"/>
          <w:sz w:val="24"/>
          <w:szCs w:val="24"/>
        </w:rPr>
        <w:t xml:space="preserve"> prac</w:t>
      </w:r>
      <w:r w:rsidR="00CF109B">
        <w:rPr>
          <w:rFonts w:ascii="Garamond" w:hAnsi="Garamond" w:cs="GeppertSans-Regular"/>
          <w:sz w:val="24"/>
          <w:szCs w:val="24"/>
        </w:rPr>
        <w:t xml:space="preserve"> </w:t>
      </w:r>
      <w:r w:rsidR="007C64FF">
        <w:rPr>
          <w:rFonts w:ascii="Garamond" w:hAnsi="Garamond" w:cs="GeppertSans-Regular"/>
          <w:sz w:val="24"/>
          <w:szCs w:val="24"/>
        </w:rPr>
        <w:br/>
      </w:r>
      <w:r w:rsidR="00CF109B">
        <w:rPr>
          <w:rFonts w:ascii="Garamond" w:hAnsi="Garamond" w:cs="GeppertSans-Regular"/>
          <w:sz w:val="24"/>
          <w:szCs w:val="24"/>
        </w:rPr>
        <w:t>z uwzględnieniem przyjętych fizycznych nośników prac</w:t>
      </w:r>
      <w:r w:rsidRPr="00E96775">
        <w:rPr>
          <w:rFonts w:ascii="Garamond" w:hAnsi="Garamond" w:cs="GeppertSans-Regular"/>
          <w:sz w:val="24"/>
          <w:szCs w:val="24"/>
        </w:rPr>
        <w:t xml:space="preserve"> </w:t>
      </w:r>
      <w:r w:rsidR="00346EFC" w:rsidRPr="00E96775">
        <w:rPr>
          <w:rFonts w:ascii="Garamond" w:hAnsi="Garamond" w:cs="GeppertSans-Regular"/>
          <w:sz w:val="24"/>
          <w:szCs w:val="24"/>
        </w:rPr>
        <w:t xml:space="preserve">oraz </w:t>
      </w:r>
      <w:r w:rsidR="00EF0794">
        <w:rPr>
          <w:rFonts w:ascii="Garamond" w:hAnsi="Garamond" w:cs="GeppertSans-Regular"/>
          <w:sz w:val="24"/>
          <w:szCs w:val="24"/>
        </w:rPr>
        <w:t xml:space="preserve">sporządza </w:t>
      </w:r>
      <w:r w:rsidR="00346EFC" w:rsidRPr="00E96775">
        <w:rPr>
          <w:rFonts w:ascii="Garamond" w:hAnsi="Garamond" w:cs="GeppertSans-Regular"/>
          <w:sz w:val="24"/>
          <w:szCs w:val="24"/>
        </w:rPr>
        <w:t>sprawozdawczość roczną.</w:t>
      </w:r>
    </w:p>
    <w:p w14:paraId="279277A4" w14:textId="490B1F4F" w:rsidR="007817FF" w:rsidRDefault="00346EFC" w:rsidP="00D809D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eppertSans-Regular"/>
          <w:sz w:val="24"/>
          <w:szCs w:val="24"/>
        </w:rPr>
      </w:pPr>
      <w:r w:rsidRPr="00434C22">
        <w:rPr>
          <w:rFonts w:ascii="Garamond" w:hAnsi="Garamond" w:cs="GeppertSans-Regular"/>
          <w:sz w:val="24"/>
          <w:szCs w:val="24"/>
        </w:rPr>
        <w:t>Roczne sprawozdania</w:t>
      </w:r>
      <w:r w:rsidR="006F603D" w:rsidRPr="00434C22">
        <w:rPr>
          <w:rFonts w:ascii="Garamond" w:hAnsi="Garamond" w:cs="GeppertSans-Regular"/>
          <w:sz w:val="24"/>
          <w:szCs w:val="24"/>
        </w:rPr>
        <w:t xml:space="preserve"> dotyczące przejętych prac</w:t>
      </w:r>
      <w:r w:rsidR="00CF109B" w:rsidRPr="00434C22">
        <w:rPr>
          <w:rFonts w:ascii="Garamond" w:hAnsi="Garamond" w:cs="GeppertSans-Regular"/>
          <w:sz w:val="24"/>
          <w:szCs w:val="24"/>
        </w:rPr>
        <w:t xml:space="preserve"> (wraz z informacją o przyjętych nośnikach fizycznych)</w:t>
      </w:r>
      <w:r w:rsidR="006F603D" w:rsidRPr="00434C22">
        <w:rPr>
          <w:rFonts w:ascii="Garamond" w:hAnsi="Garamond" w:cs="GeppertSans-Regular"/>
          <w:sz w:val="24"/>
          <w:szCs w:val="24"/>
        </w:rPr>
        <w:t xml:space="preserve"> </w:t>
      </w:r>
      <w:r w:rsidR="001E68CC" w:rsidRPr="00434C22">
        <w:rPr>
          <w:rFonts w:ascii="Garamond" w:hAnsi="Garamond" w:cs="GeppertSans-Regular"/>
          <w:sz w:val="24"/>
          <w:szCs w:val="24"/>
        </w:rPr>
        <w:t>sporządzane są</w:t>
      </w:r>
      <w:r w:rsidR="00CF109B" w:rsidRPr="00434C22">
        <w:rPr>
          <w:rFonts w:ascii="Garamond" w:hAnsi="Garamond" w:cs="GeppertSans-Regular"/>
          <w:sz w:val="24"/>
          <w:szCs w:val="24"/>
        </w:rPr>
        <w:t xml:space="preserve"> przez dziekanaty każdego wydziału</w:t>
      </w:r>
      <w:r w:rsidR="001E68CC" w:rsidRPr="00434C22">
        <w:rPr>
          <w:rFonts w:ascii="Garamond" w:hAnsi="Garamond" w:cs="GeppertSans-Regular"/>
          <w:sz w:val="24"/>
          <w:szCs w:val="24"/>
        </w:rPr>
        <w:t xml:space="preserve"> do </w:t>
      </w:r>
      <w:r w:rsidR="00716715">
        <w:rPr>
          <w:rFonts w:ascii="Garamond" w:hAnsi="Garamond" w:cs="GeppertSans-Regular"/>
          <w:sz w:val="24"/>
          <w:szCs w:val="24"/>
        </w:rPr>
        <w:t>30 września</w:t>
      </w:r>
      <w:r w:rsidR="001E68CC" w:rsidRPr="00434C22">
        <w:rPr>
          <w:rFonts w:ascii="Garamond" w:hAnsi="Garamond" w:cs="GeppertSans-Regular"/>
          <w:sz w:val="24"/>
          <w:szCs w:val="24"/>
        </w:rPr>
        <w:t xml:space="preserve"> każdego roku i przesyłane do Prorektora </w:t>
      </w:r>
      <w:r w:rsidR="007817FF">
        <w:rPr>
          <w:rFonts w:ascii="Garamond" w:hAnsi="Garamond" w:cs="GeppertSans-Regular"/>
          <w:sz w:val="24"/>
          <w:szCs w:val="24"/>
        </w:rPr>
        <w:t>ds. dydaktycznych i studenckich (</w:t>
      </w:r>
      <w:hyperlink r:id="rId8" w:history="1">
        <w:r w:rsidR="007817FF" w:rsidRPr="0014412E">
          <w:rPr>
            <w:rStyle w:val="Hipercze"/>
            <w:rFonts w:ascii="Garamond" w:hAnsi="Garamond" w:cs="GeppertSans-Regular"/>
            <w:sz w:val="24"/>
            <w:szCs w:val="24"/>
          </w:rPr>
          <w:t>prordyd@asp.wroc.pl</w:t>
        </w:r>
      </w:hyperlink>
      <w:r w:rsidR="007817FF">
        <w:rPr>
          <w:rFonts w:ascii="Garamond" w:hAnsi="Garamond" w:cs="GeppertSans-Regular"/>
          <w:sz w:val="24"/>
          <w:szCs w:val="24"/>
        </w:rPr>
        <w:t>)</w:t>
      </w:r>
    </w:p>
    <w:p w14:paraId="54D4D6B6" w14:textId="510418B3" w:rsidR="00D809D5" w:rsidRDefault="007817FF" w:rsidP="007817F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eppertSans-Regular"/>
          <w:sz w:val="24"/>
          <w:szCs w:val="24"/>
        </w:rPr>
      </w:pPr>
      <w:r>
        <w:rPr>
          <w:rFonts w:ascii="Garamond" w:hAnsi="Garamond" w:cs="GeppertSans-Regular"/>
          <w:sz w:val="24"/>
          <w:szCs w:val="24"/>
        </w:rPr>
        <w:t>oraz do Prorektora ds. naukowych i współpracy z podmiotami zewnętrznymi (</w:t>
      </w:r>
      <w:hyperlink r:id="rId9" w:history="1">
        <w:r w:rsidRPr="0014412E">
          <w:rPr>
            <w:rStyle w:val="Hipercze"/>
            <w:rFonts w:ascii="Garamond" w:hAnsi="Garamond" w:cs="GeppertSans-Regular"/>
            <w:sz w:val="24"/>
            <w:szCs w:val="24"/>
          </w:rPr>
          <w:t>prornauk@asp.wroc.pl</w:t>
        </w:r>
      </w:hyperlink>
      <w:r>
        <w:rPr>
          <w:rFonts w:ascii="Garamond" w:hAnsi="Garamond" w:cs="GeppertSans-Regular"/>
          <w:sz w:val="24"/>
          <w:szCs w:val="24"/>
        </w:rPr>
        <w:t>).</w:t>
      </w:r>
    </w:p>
    <w:p w14:paraId="391C27C0" w14:textId="36A273DF" w:rsidR="007817FF" w:rsidRDefault="007817FF" w:rsidP="007817F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eppertSans-Regular"/>
          <w:sz w:val="24"/>
          <w:szCs w:val="24"/>
        </w:rPr>
      </w:pPr>
    </w:p>
    <w:p w14:paraId="1144063C" w14:textId="79AFE590" w:rsidR="007C64FF" w:rsidRDefault="007C64FF" w:rsidP="007817F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eppertSans-Regular"/>
          <w:sz w:val="24"/>
          <w:szCs w:val="24"/>
        </w:rPr>
      </w:pPr>
    </w:p>
    <w:p w14:paraId="6C06C73C" w14:textId="77777777" w:rsidR="007C64FF" w:rsidRPr="00434C22" w:rsidRDefault="007C64FF" w:rsidP="007817F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eppertSans-Regular"/>
          <w:sz w:val="24"/>
          <w:szCs w:val="24"/>
        </w:rPr>
      </w:pPr>
    </w:p>
    <w:sectPr w:rsidR="007C64FF" w:rsidRPr="00434C2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57C8C" w14:textId="77777777" w:rsidR="001E6E4D" w:rsidRDefault="001E6E4D" w:rsidP="008C16EE">
      <w:pPr>
        <w:spacing w:after="0" w:line="240" w:lineRule="auto"/>
      </w:pPr>
      <w:r>
        <w:separator/>
      </w:r>
    </w:p>
  </w:endnote>
  <w:endnote w:type="continuationSeparator" w:id="0">
    <w:p w14:paraId="5AE558CD" w14:textId="77777777" w:rsidR="001E6E4D" w:rsidRDefault="001E6E4D" w:rsidP="008C1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ppertSans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05649" w14:textId="77777777" w:rsidR="001E6E4D" w:rsidRDefault="001E6E4D" w:rsidP="008C16EE">
      <w:pPr>
        <w:spacing w:after="0" w:line="240" w:lineRule="auto"/>
      </w:pPr>
      <w:r>
        <w:separator/>
      </w:r>
    </w:p>
  </w:footnote>
  <w:footnote w:type="continuationSeparator" w:id="0">
    <w:p w14:paraId="075A5FEC" w14:textId="77777777" w:rsidR="001E6E4D" w:rsidRDefault="001E6E4D" w:rsidP="008C1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4B1E7" w14:textId="77777777" w:rsidR="002462DA" w:rsidRPr="002462DA" w:rsidRDefault="002462DA" w:rsidP="002462DA">
    <w:pPr>
      <w:pStyle w:val="Nagwek"/>
      <w:jc w:val="right"/>
      <w:rPr>
        <w:rFonts w:ascii="Garamond" w:hAnsi="Garamond"/>
        <w:sz w:val="20"/>
        <w:szCs w:val="20"/>
      </w:rPr>
    </w:pPr>
    <w:r w:rsidRPr="002462DA">
      <w:rPr>
        <w:rFonts w:ascii="Garamond" w:hAnsi="Garamond"/>
        <w:sz w:val="20"/>
        <w:szCs w:val="20"/>
      </w:rPr>
      <w:t xml:space="preserve">Załącznik n1 do Zarządzenia nr II/11/2024 </w:t>
    </w:r>
  </w:p>
  <w:p w14:paraId="204C75C7" w14:textId="3D493C22" w:rsidR="002462DA" w:rsidRPr="002462DA" w:rsidRDefault="002462DA" w:rsidP="002462DA">
    <w:pPr>
      <w:pStyle w:val="Nagwek"/>
      <w:jc w:val="right"/>
      <w:rPr>
        <w:rFonts w:ascii="Garamond" w:hAnsi="Garamond"/>
        <w:sz w:val="20"/>
        <w:szCs w:val="20"/>
      </w:rPr>
    </w:pPr>
    <w:r w:rsidRPr="002462DA">
      <w:rPr>
        <w:rFonts w:ascii="Garamond" w:hAnsi="Garamond"/>
        <w:sz w:val="20"/>
        <w:szCs w:val="20"/>
      </w:rPr>
      <w:t xml:space="preserve">z dnia 24 stycznia 2024 r. </w:t>
    </w:r>
  </w:p>
  <w:p w14:paraId="7FE6E939" w14:textId="77777777" w:rsidR="008C16EE" w:rsidRDefault="008C16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E3753"/>
    <w:multiLevelType w:val="hybridMultilevel"/>
    <w:tmpl w:val="F30A7AE0"/>
    <w:lvl w:ilvl="0" w:tplc="C5246A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234CB"/>
    <w:multiLevelType w:val="hybridMultilevel"/>
    <w:tmpl w:val="3F96E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46B25"/>
    <w:multiLevelType w:val="multilevel"/>
    <w:tmpl w:val="5C465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6E2"/>
    <w:rsid w:val="001E68CC"/>
    <w:rsid w:val="001E6E4D"/>
    <w:rsid w:val="002462DA"/>
    <w:rsid w:val="002852BD"/>
    <w:rsid w:val="00346EFC"/>
    <w:rsid w:val="003C2720"/>
    <w:rsid w:val="00434C22"/>
    <w:rsid w:val="005B46E2"/>
    <w:rsid w:val="006A4F8F"/>
    <w:rsid w:val="006F603D"/>
    <w:rsid w:val="00716715"/>
    <w:rsid w:val="007817FF"/>
    <w:rsid w:val="007A4258"/>
    <w:rsid w:val="007C64FF"/>
    <w:rsid w:val="007D073A"/>
    <w:rsid w:val="00831DC8"/>
    <w:rsid w:val="008C16EE"/>
    <w:rsid w:val="008E3821"/>
    <w:rsid w:val="00A00DD1"/>
    <w:rsid w:val="00AE30C4"/>
    <w:rsid w:val="00CF109B"/>
    <w:rsid w:val="00D809D5"/>
    <w:rsid w:val="00DB7102"/>
    <w:rsid w:val="00DC1333"/>
    <w:rsid w:val="00E96775"/>
    <w:rsid w:val="00EF0794"/>
    <w:rsid w:val="00FD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854D12"/>
  <w15:chartTrackingRefBased/>
  <w15:docId w15:val="{D33381AC-4282-49AB-B113-86E2681A8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46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671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1671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C1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16EE"/>
  </w:style>
  <w:style w:type="paragraph" w:styleId="Stopka">
    <w:name w:val="footer"/>
    <w:basedOn w:val="Normalny"/>
    <w:link w:val="StopkaZnak"/>
    <w:uiPriority w:val="99"/>
    <w:unhideWhenUsed/>
    <w:rsid w:val="008C1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16EE"/>
  </w:style>
  <w:style w:type="paragraph" w:styleId="Tekstdymka">
    <w:name w:val="Balloon Text"/>
    <w:basedOn w:val="Normalny"/>
    <w:link w:val="TekstdymkaZnak"/>
    <w:uiPriority w:val="99"/>
    <w:semiHidden/>
    <w:unhideWhenUsed/>
    <w:rsid w:val="00246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1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rdyd@asp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rdyd@asp.wroc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ornauk@asp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658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Mak-Sobota</dc:creator>
  <cp:keywords/>
  <dc:description/>
  <cp:lastModifiedBy>Beata Mak-Sobota</cp:lastModifiedBy>
  <cp:revision>6</cp:revision>
  <cp:lastPrinted>2024-01-29T11:13:00Z</cp:lastPrinted>
  <dcterms:created xsi:type="dcterms:W3CDTF">2024-01-29T10:34:00Z</dcterms:created>
  <dcterms:modified xsi:type="dcterms:W3CDTF">2024-01-29T11:15:00Z</dcterms:modified>
</cp:coreProperties>
</file>